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Температура выполнения </w:t>
      </w: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работот</w:t>
      </w:r>
      <w:proofErr w:type="spellEnd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 +5...+30°С </w:t>
      </w:r>
      <w:r w:rsidRPr="00D247C2">
        <w:rPr>
          <w:rFonts w:ascii="Times New Roman" w:hAnsi="Times New Roman" w:cs="Times New Roman"/>
          <w:color w:val="231F20"/>
          <w:sz w:val="24"/>
          <w:szCs w:val="24"/>
          <w:shd w:val="clear" w:color="auto" w:fill="F7F7F6"/>
        </w:rPr>
        <w:t>и уровень влажности воздуха не более 75%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ЦветСерый</w:t>
      </w:r>
      <w:proofErr w:type="spellEnd"/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Фракция </w:t>
      </w: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наполнителяне</w:t>
      </w:r>
      <w:proofErr w:type="spellEnd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 более 2,5 мм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Количество воды на 1 кг. сухой смеси0,16-0,20 л.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Толщина слоя без использования штукатурной сетки5-30 мм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Расход при толщине слоя 2 мм3,5-4,5 кг/м²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Жизнеспособность раствора120 минут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Время высыхания слоя толщиной 10 мм2-5 суток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Прочность на </w:t>
      </w: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сжатиене</w:t>
      </w:r>
      <w:proofErr w:type="spellEnd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 менее 100 кг/см² (10 МПа)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Прочность </w:t>
      </w: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сцепленияне</w:t>
      </w:r>
      <w:proofErr w:type="spellEnd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 менее 7 кг/см² (0,7 МПа)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proofErr w:type="spellStart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Морозостойкостьне</w:t>
      </w:r>
      <w:proofErr w:type="spellEnd"/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 xml:space="preserve"> менее 100 циклов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7F7F6"/>
          <w:lang w:eastAsia="ru-RU"/>
        </w:rPr>
        <w:t>Варианты фасовки25 кг</w:t>
      </w:r>
    </w:p>
    <w:p w:rsidR="00D247C2" w:rsidRPr="00D247C2" w:rsidRDefault="00D247C2" w:rsidP="00D247C2">
      <w:pPr>
        <w:numPr>
          <w:ilvl w:val="0"/>
          <w:numId w:val="1"/>
        </w:numPr>
        <w:shd w:val="clear" w:color="auto" w:fill="F7F7F6"/>
        <w:spacing w:after="285" w:line="240" w:lineRule="auto"/>
        <w:ind w:left="0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D247C2">
        <w:rPr>
          <w:rFonts w:ascii="Times New Roman" w:hAnsi="Times New Roman" w:cs="Times New Roman"/>
          <w:color w:val="231F20"/>
          <w:sz w:val="24"/>
          <w:szCs w:val="24"/>
          <w:shd w:val="clear" w:color="auto" w:fill="F7F7F6"/>
        </w:rPr>
        <w:t>Применяется по бетонным, пенобетонным, цементно-песчаным, газосиликатным основаниям, кирпичной кладке, а также другим недеформирующимся поверхностям.</w:t>
      </w:r>
    </w:p>
    <w:p w:rsidR="00FC455F" w:rsidRDefault="00FC455F"/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Подготовка поверхности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Основание должно быть прочным, сухим, обладать несущей способностью. Перед нанесением материала необходимо удалить с поверхности осыпающиеся элементы, малярные покрытия, масляные, битумные пятна и другие загрязнения, препятствующие сцеплению материала с поверхностью.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Для усиления прочности сцепления материала с основанием необходимо обработать поверхность грунтом UNIS в один-два слоя, а неравномерно и сильно впитывающие основания (</w:t>
      </w:r>
      <w:proofErr w:type="spellStart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газосиликат</w:t>
      </w:r>
      <w:proofErr w:type="spellEnd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, пенобетон и т.д.) - в несколько слоев. Выбор грунтовки UNIS осуществляется в соответствии с типом основания. Не следует допускать запыления загрунтованных поверхностей. Перед проведением последующих работ следует дождаться полного высыхания грунта.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lastRenderedPageBreak/>
        <w:t>Все неровности, выбоины, трещины глубиной более 30 мм предварительно должны быть тщательно заделаны с помощью смеси «Силин Цокольный». Дальнейшую обработку поверхности следует начинать через 1-2 суток.</w:t>
      </w:r>
    </w:p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Приготовление раствора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 xml:space="preserve">Для приготовления раствора сухую смесь засыпать в емкость с чистой водой (на 1 кг сухой смеси 0,16-0,20 л) и перемешать в течение 3-5 минут до получения однородной массы. Перемешивание производится механизированным способом: профессиональным миксером с насадкой на малых оборотах. Дать раствору отстояться в течение 3-5 минут и повторно размешать. После этого раствор готов к применению. Приготовленная порция раствора должна быть израсходована не позднее 120 минут после </w:t>
      </w:r>
      <w:proofErr w:type="spellStart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затворения</w:t>
      </w:r>
      <w:proofErr w:type="spellEnd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.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z w:val="26"/>
          <w:szCs w:val="26"/>
          <w:lang w:eastAsia="ru-RU"/>
        </w:rPr>
        <w:t>Внимание!</w:t>
      </w: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 При приготовлении раствора необходимо соблюдать соотношение «сухая смесь - вода». Не допускается добавление в сухую смесь любых компонентов, кроме воды. Добавление в уже готовый раствор любых компонентов, в том числе воды, ведёт к изменению заявленных производителем свойств материала. Для приготовления раствора использовать только чистые емкости и инструмент.</w:t>
      </w:r>
    </w:p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Установка маячков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Маячки устанавливаются параллельно друг другу в вертикальном положении. Расстояние между маячками должно быть на 20-30 с. меньше длины правила. На предварительно подготовленное основание в местах установки маячков нанести штукатурный раствор «Силин Цокольный». Не дожидаясь высыхания смеси, вдавить маячки в нанесенный на поверхность раствор. Правильность установки маячков проверяется уровнем. Дальнейшие работы производятся через 3-4 часа после установки маячков.</w:t>
      </w:r>
    </w:p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Выравнивание перепадов до 30 мм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lastRenderedPageBreak/>
        <w:t xml:space="preserve">Приготовленный раствор в течение 60 минут после </w:t>
      </w:r>
      <w:proofErr w:type="spellStart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затворения</w:t>
      </w:r>
      <w:proofErr w:type="spellEnd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 xml:space="preserve"> наносится на поверхность кельмой или шпателем, затем выравнивается правилом. В момент начала схватывания раствора нанесенный слой подрезать правилом, снимая излишки и заполняя углубления. Полученная поверхность после окончательного высыхания пригодна для приклеивания керамической плитки и нанесения финишных ровнителей, окрашивания.</w:t>
      </w:r>
    </w:p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Выравнивание перепадов более 30 мм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 xml:space="preserve">При наличии перепадов более 30 мм проводят предварительное выравнивание поверхности с помощью штукатурной смеси «Силин Цокольный». Для этого штукатурную смесь наносят в несколько слоев, каждый слой прокладывают штукатурной сеткой. Установка маячков для нанесения предварительно выравнивающих слоев не требуется. Нанесение штукатурки «Силин </w:t>
      </w:r>
      <w:proofErr w:type="spellStart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Цоколтный</w:t>
      </w:r>
      <w:proofErr w:type="spellEnd"/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» в несколько слоев возможно без использования штукатурной сетки, для этого на схватившийся, но еще не затвердевший слой штукатурки, наносят крестообразные насечки с помощью гребня или зубчатого шпателя.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Толщина каждого слоя в данном случае не должна превышать 30 мм. Перед нанесением нового слоя штукатурной смеси необходимо дождаться полного высыхания предыдущего слоя (1-3 суток) и обработать поверхность грунтом UNIS.</w:t>
      </w:r>
    </w:p>
    <w:p w:rsidR="00D247C2" w:rsidRPr="00D247C2" w:rsidRDefault="00D247C2" w:rsidP="00D2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C2">
        <w:rPr>
          <w:rFonts w:ascii="intro" w:eastAsia="Times New Roman" w:hAnsi="intro" w:cs="Times New Roman"/>
          <w:b/>
          <w:bCs/>
          <w:color w:val="231F20"/>
          <w:spacing w:val="5"/>
          <w:sz w:val="23"/>
          <w:szCs w:val="23"/>
          <w:shd w:val="clear" w:color="auto" w:fill="F7F7F6"/>
          <w:lang w:eastAsia="ru-RU"/>
        </w:rPr>
        <w:t>Заглаживание и окончательная обработка поверхности.</w:t>
      </w:r>
    </w:p>
    <w:p w:rsidR="00D247C2" w:rsidRPr="00D247C2" w:rsidRDefault="00D247C2" w:rsidP="00D247C2">
      <w:pPr>
        <w:shd w:val="clear" w:color="auto" w:fill="F7F7F6"/>
        <w:spacing w:after="300" w:line="510" w:lineRule="atLeast"/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</w:pPr>
      <w:r w:rsidRPr="00D247C2">
        <w:rPr>
          <w:rFonts w:ascii="intro" w:eastAsia="Times New Roman" w:hAnsi="intro" w:cs="Times New Roman"/>
          <w:color w:val="231F20"/>
          <w:sz w:val="26"/>
          <w:szCs w:val="26"/>
          <w:lang w:eastAsia="ru-RU"/>
        </w:rPr>
        <w:t>В зависимости от толщины нанесенного слоя схватившуюся, но не затвердевшую поверхность (через 3-6 часов после нанесения) затереть пластмассовой теркой. Оштукатуренная поверхность готова под тонкослойное шпатлевание или отделку декоративными покрытиями.</w:t>
      </w:r>
    </w:p>
    <w:p w:rsidR="00D247C2" w:rsidRDefault="00D247C2">
      <w:bookmarkStart w:id="0" w:name="_GoBack"/>
      <w:bookmarkEnd w:id="0"/>
    </w:p>
    <w:sectPr w:rsidR="00D2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0023"/>
    <w:multiLevelType w:val="multilevel"/>
    <w:tmpl w:val="F90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4"/>
    <w:rsid w:val="006C49B4"/>
    <w:rsid w:val="00D247C2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1D6"/>
  <w15:chartTrackingRefBased/>
  <w15:docId w15:val="{9F45C889-745C-4EB4-AE46-4394CF2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2018-05-14T08:22:00Z</dcterms:created>
  <dcterms:modified xsi:type="dcterms:W3CDTF">2018-05-14T08:26:00Z</dcterms:modified>
</cp:coreProperties>
</file>